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valgfaget internasjonalt samarbeid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Fastsatt som forskrift av Kunnskapsdepartementet 8. juni 2012.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01.08.2012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til 31.07.2020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4pt;width:24pt">
            <v:imagedata r:id="rId4" o:title=""/>
          </v:shape>
        </w:pict>
      </w:r>
      <w:r>
        <w:rPr>
          <w:rFonts w:ascii="Roboto" w:eastAsia="Roboto" w:hAnsi="Roboto" w:cs="Roboto"/>
          <w:rtl w:val="0"/>
        </w:rPr>
        <w:t xml:space="preserve"> </w:t>
      </w:r>
    </w:p>
    <w:p>
      <w:pPr>
        <w:pStyle w:val="Heading5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Formål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Valgfagene skal bidra til at elevene, hver for seg og i fellesskap, styrker lysten til å lære og opplever mestring gjennom praktisk og variert arbeid. Valgfagene er tverrfaglige og skal bidra til helhet og sammenheng i opplæringen.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Valgfaget internasjonalt samarbeid skal legge til rette for å utvikle elevenes språkkompetanse gjennom kontakt med ungdom i andre land. Valgfaget gir elevene mulighet til å uttrykke egne meninger om temaer som opptar ungdom, bli hørt og få svar. Ved å kommunisere på engelsk eller et annet fremmedspråk får elevene mulighet til å bruke språket i praksis og utvikle sin forståelse for betydningen av å beherske flere språk. Norsk eller samisk kan brukes i kontakt med elever i de andre nordiske landene.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Valgfaget skal bidra til å øke elevenes innsikt i egen og andres kultur og interesser og til å øke forståelsen for at vi lever i et globalisert samfunn. Gjennom kontakt med ungdom i andre land skal elevene få anledning til å reflektere over egne erfaringer og utvikle respekt og toleranse for andres levesett.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Valgfaget skal bidra til å oppøve elevenes kommunikative språkferdigheter ved at de planlegger og produserer tekster, bilder, lyd- og videofiler og utveksler informasjon. Det skal invitere til å ta i bruk ulike sosiale medier og digitale verktøy.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Valgfaget henter hovedelementer fra engelsk, 2. fremmedspråk og samfunnsfag. Elementer fra norsk/samisk og RLE kan også inngå.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Hovedområder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Valgfaget er strukturert i to hovedområder. Hovedområdene utfyller hverandre og må ses i sammenheng.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b/>
          <w:bCs/>
          <w:rtl w:val="0"/>
        </w:rPr>
        <w:t>Oversikt over hovedområdene: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534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Hovedområder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Kommunikasjon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Samfunn og kultur</w:t>
            </w:r>
          </w:p>
        </w:tc>
      </w:tr>
    </w:tbl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Kommunikasjon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Hovedområdet innebærer at elevene skal etablere kontakt og kommunisere med ungdom i andre land gjennom å bruke IKT og multimedia. Hovedområdet omfatter valg og bruk av hensiktsmessige kommunikasjonsformer, og elevene skal bruke engelsk eller et annet fremmedspråk. Det kan også legges til rette for å bruke norsk eller samisk i kontakten med de nordiske landene. Vurderinger av nettvett, personvern, ytringsfrihet og opphavsrett inngår i hovedområdet.</w:t>
      </w:r>
    </w:p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Samfunn og kultur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hovedområdet skal elevene gjennom kommunikasjon med elever i andre land få innsikt i, sammenligne og reflektere over egen og andres kultur, interesser og levemåte. Ved at elevene får kjennskap til innsikt i ulike samfunn og kulturer, skal faget også bidra til interesse for hvordan ungdom i andre land lever.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Timetall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Valgfaget internasjonalt samarbeid: 57 årstimer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Timetallet er oppgitt i 60 minutters enheter.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er integrert i kompetansemålene på fagets premisser.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Internasjonalt samarbeid</w:t>
      </w:r>
    </w:p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</w:t>
      </w:r>
    </w:p>
    <w:p>
      <w:pPr>
        <w:bidi w:val="0"/>
        <w:spacing w:after="280" w:afterAutospacing="1"/>
        <w:rPr>
          <w:i/>
          <w:iCs/>
          <w:rtl w:val="0"/>
        </w:rPr>
      </w:pPr>
      <w:r>
        <w:rPr>
          <w:rFonts w:ascii="Roboto" w:eastAsia="Roboto" w:hAnsi="Roboto" w:cs="Roboto"/>
          <w:i/>
          <w:iCs/>
          <w:rtl w:val="0"/>
        </w:rPr>
        <w:t xml:space="preserve">Mål for opplæringen er at eleven skal kunne </w:t>
      </w:r>
    </w:p>
    <w:p>
      <w:pPr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velge tema, hensiktsmessig kommunikasjonsteknologi og språk tilpasset formålet</w:t>
      </w:r>
    </w:p>
    <w:p>
      <w:pPr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etablere kontakt med enkeltelever eller grupper</w:t>
      </w:r>
    </w:p>
    <w:p>
      <w:pPr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produsere og kommunisere innhold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benytte grunnleggende regler for nettvett, personvern, opphavsrett og ytringsfrihet</w:t>
      </w:r>
    </w:p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Samfunn og kultur</w:t>
      </w:r>
    </w:p>
    <w:p>
      <w:pPr>
        <w:bidi w:val="0"/>
        <w:spacing w:after="280" w:afterAutospacing="1"/>
        <w:rPr>
          <w:i/>
          <w:iCs/>
          <w:rtl w:val="0"/>
        </w:rPr>
      </w:pPr>
      <w:r>
        <w:rPr>
          <w:rFonts w:ascii="Roboto" w:eastAsia="Roboto" w:hAnsi="Roboto" w:cs="Roboto"/>
          <w:i/>
          <w:iCs/>
          <w:rtl w:val="0"/>
        </w:rPr>
        <w:t xml:space="preserve">Mål for opplæringen er at eleven skal kunne </w:t>
      </w:r>
    </w:p>
    <w:p>
      <w:pPr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utveksle informasjon om miljø, livssyn, underholdning, sport og kultur med elever i andre land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utveksle synspunkter om forskjeller og likheter mellom egen og andres kultur og interesser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Bestemmelser for sluttvurdering: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Standpunktvurdering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2"/>
        <w:gridCol w:w="3133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Årstrinn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Ordning</w:t>
            </w: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10. årstrinn eller det trinnet faget avsluttes på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Elevene skal ha en standpunktkarakter</w:t>
            </w:r>
          </w:p>
        </w:tc>
      </w:tr>
    </w:tbl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Eksamen for elever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3"/>
        <w:gridCol w:w="2226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Årstrinn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Ordning</w:t>
            </w: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10. årstrinn eller det trinnet faget avsluttes på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Det er ikke eksamen i faget</w:t>
            </w:r>
          </w:p>
        </w:tc>
      </w:tr>
    </w:tbl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Eksamen for privatister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3"/>
        <w:gridCol w:w="2749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Årstrinn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Ordning</w:t>
            </w: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10. årstrinn eller det trinnet faget avsluttes på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Det er ikke privatistordning i faget</w:t>
            </w:r>
          </w:p>
        </w:tc>
      </w:tr>
    </w:tbl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 generelle bestemmelsene om vurdering er fastsatt i forskrift til opplæringsloven.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4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8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https://www.udir.no/kl06/ISA1-01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height:100pt;margin-left:0;margin-top:0;mso-position-horizontal:center;mso-position-horizontal-relative:page;mso-position-vertical:center;mso-position-vertical-relative:page;position:absolute;rotation:-40;width:500pt;z-index:251660288" fillcolor="#f7c3c1" strokecolor="#f7c3c1">
          <v:textpath style="font-family:&quot;Arial&quot;" string="utgåt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5000"/>
      <w:gridCol w:w="5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valgfaget internasjonalt samarbeid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ISA1-01</w:t>
          </w:r>
        </w:p>
      </w:tc>
    </w:tr>
  </w:tbl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height:100pt;margin-left:0;margin-top:0;mso-position-horizontal:center;mso-position-horizontal-relative:page;mso-position-vertical:center;mso-position-vertical-relative:page;position:absolute;rotation:-40;width:500pt;z-index:251658240" fillcolor="#f7c3c1" strokecolor="#f7c3c1">
          <v:textpath style="font-family:&quot;Arial&quot;" string="utgått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5000"/>
      <w:gridCol w:w="5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0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ISA1-01</w:t>
          </w:r>
        </w:p>
      </w:tc>
    </w:tr>
  </w:tbl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height:100pt;margin-left:0;margin-top:0;mso-position-horizontal:center;mso-position-horizontal-relative:page;mso-position-vertical:center;mso-position-vertical-relative:page;position:absolute;rotation:-40;width:500pt;z-index:251659264" fillcolor="#f7c3c1" strokecolor="#f7c3c1">
          <v:textpath style="font-family:&quot;Arial&quot;" string="utgåt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hd w:val="clear" w:color="auto" w:fill="FFFFFF"/>
    </w:pPr>
    <w:rPr>
      <w:rFonts w:ascii="Verdana" w:eastAsia="Verdana" w:hAnsi="Verdana" w:cs="Verdana"/>
      <w:sz w:val="18"/>
      <w:szCs w:val="24"/>
      <w:shd w:val="clear" w:color="auto" w:fill="FFFFFF"/>
    </w:rPr>
  </w:style>
  <w:style w:type="paragraph" w:styleId="Heading1">
    <w:name w:val="heading 1"/>
    <w:basedOn w:val="Normal"/>
    <w:next w:val="Normal"/>
    <w:qFormat/>
    <w:rsid w:val="00EF7B96"/>
    <w:pPr>
      <w:keepNext/>
      <w:shd w:val="clear" w:color="auto" w:fill="FFFFFF"/>
      <w:spacing w:before="240" w:after="60"/>
      <w:outlineLvl w:val="0"/>
    </w:pPr>
    <w:rPr>
      <w:rFonts w:ascii="Verdana" w:eastAsia="Verdana" w:hAnsi="Verdana" w:cs="Verdana"/>
      <w:b/>
      <w:bCs/>
      <w:i w:val="0"/>
      <w:color w:val="000000"/>
      <w:kern w:val="32"/>
      <w:sz w:val="36"/>
      <w:szCs w:val="32"/>
      <w:shd w:val="clear" w:color="auto" w:fill="FFFFFF"/>
    </w:rPr>
  </w:style>
  <w:style w:type="paragraph" w:styleId="Heading2">
    <w:name w:val="heading 2"/>
    <w:basedOn w:val="Normal"/>
    <w:next w:val="Normal"/>
    <w:qFormat/>
    <w:rsid w:val="00EF7B96"/>
    <w:pPr>
      <w:keepNext/>
      <w:shd w:val="clear" w:color="auto" w:fill="FFFFFF"/>
      <w:spacing w:before="240" w:after="60" w:line="240" w:lineRule="auto"/>
      <w:outlineLvl w:val="1"/>
    </w:pPr>
    <w:rPr>
      <w:rFonts w:ascii="Verdana" w:eastAsia="Verdana" w:hAnsi="Verdana" w:cs="Verdana"/>
      <w:b/>
      <w:bCs/>
      <w:i w:val="0"/>
      <w:iCs/>
      <w:position w:val="-75"/>
      <w:sz w:val="32"/>
      <w:szCs w:val="28"/>
      <w:shd w:val="clear" w:color="auto" w:fill="FFFFFF"/>
    </w:rPr>
  </w:style>
  <w:style w:type="paragraph" w:styleId="Heading3">
    <w:name w:val="heading 3"/>
    <w:basedOn w:val="Normal"/>
    <w:next w:val="Normal"/>
    <w:qFormat/>
    <w:rsid w:val="00EF7B96"/>
    <w:pPr>
      <w:keepNext/>
      <w:shd w:val="clear" w:color="auto" w:fill="FFFFFF"/>
      <w:spacing w:before="240" w:after="60"/>
      <w:outlineLvl w:val="2"/>
    </w:pPr>
    <w:rPr>
      <w:rFonts w:ascii="Verdana" w:eastAsia="Verdana" w:hAnsi="Verdana" w:cs="Verdana"/>
      <w:b/>
      <w:bCs/>
      <w:i w:val="0"/>
      <w:color w:val="000000"/>
      <w:sz w:val="24"/>
      <w:szCs w:val="26"/>
      <w:shd w:val="clear" w:color="auto" w:fill="FFFFFF"/>
    </w:rPr>
  </w:style>
  <w:style w:type="paragraph" w:styleId="Heading4">
    <w:name w:val="heading 4"/>
    <w:basedOn w:val="Normal"/>
    <w:next w:val="Normal"/>
    <w:qFormat/>
    <w:rsid w:val="00EF7B96"/>
    <w:pPr>
      <w:keepNext/>
      <w:shd w:val="clear" w:color="auto" w:fill="FFFFFF"/>
      <w:spacing w:before="240" w:after="60"/>
      <w:outlineLvl w:val="3"/>
    </w:pPr>
    <w:rPr>
      <w:rFonts w:ascii="Verdana" w:eastAsia="Verdana" w:hAnsi="Verdana" w:cs="Verdana"/>
      <w:b/>
      <w:bCs/>
      <w:i w:val="0"/>
      <w:sz w:val="24"/>
      <w:szCs w:val="28"/>
      <w:shd w:val="clear" w:color="auto" w:fill="FFFFFF"/>
    </w:rPr>
  </w:style>
  <w:style w:type="paragraph" w:styleId="Heading5">
    <w:name w:val="heading 5"/>
    <w:basedOn w:val="Normal"/>
    <w:next w:val="Normal"/>
    <w:qFormat/>
    <w:rsid w:val="00EF7B96"/>
    <w:pPr>
      <w:pageBreakBefore/>
      <w:shd w:val="clear" w:color="auto" w:fill="FFFFFF"/>
      <w:spacing w:before="240" w:after="60"/>
      <w:outlineLvl w:val="4"/>
    </w:pPr>
    <w:rPr>
      <w:rFonts w:ascii="Verdana" w:eastAsia="Verdana" w:hAnsi="Verdana" w:cs="Verdana"/>
      <w:b/>
      <w:bCs/>
      <w:i w:val="0"/>
      <w:iCs/>
      <w:sz w:val="32"/>
      <w:szCs w:val="26"/>
      <w:shd w:val="clear" w:color="auto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d">
    <w:name w:val="T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  <w:style w:type="paragraph" w:customStyle="1" w:styleId="Th">
    <w:name w:val="Th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Table">
    <w:name w:val="Table"/>
    <w:basedOn w:val="Normal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</w:pPr>
    <w:rPr>
      <w:sz w:val="20"/>
      <w:bdr w:val="single" w:sz="0" w:space="0" w:color="FFFFFF"/>
    </w:rPr>
  </w:style>
  <w:style w:type="paragraph" w:customStyle="1" w:styleId="Thead">
    <w:name w:val="Thead"/>
    <w:basedOn w:val="Normal"/>
    <w:pPr>
      <w:shd w:val="clear" w:color="auto" w:fill="FFA500"/>
    </w:pPr>
    <w:rPr>
      <w:shd w:val="clear" w:color="auto" w:fill="FFA5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10" Type="http://schemas.openxmlformats.org/officeDocument/2006/relationships/numbering" Target="numbering.xml" />
	<Relationship Id="rId11" Type="http://schemas.openxmlformats.org/officeDocument/2006/relationships/styles" Target="style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image" Target="media/image1.png" />
	<Relationship Id="rId5" Type="http://schemas.openxmlformats.org/officeDocument/2006/relationships/header" Target="header1.xml" />
	<Relationship Id="rId6" Type="http://schemas.openxmlformats.org/officeDocument/2006/relationships/header" Target="header2.xml" />
	<Relationship Id="rId7" Type="http://schemas.openxmlformats.org/officeDocument/2006/relationships/footer" Target="footer1.xml" />
	<Relationship Id="rId8" Type="http://schemas.openxmlformats.org/officeDocument/2006/relationships/header" Target="header3.xml" />
	<Relationship Id="rId9" Type="http://schemas.openxmlformats.org/officeDocument/2006/relationships/footer" Target="footer2.xml" />
</Relationships>
</file>

<file path=word/_rels/header3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2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valgfaget internasjonalt samarbeid</dc:title>
  <cp:revision>1</cp:revision>
</cp:coreProperties>
</file>